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ПАМЯТКА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617"/>
        <w:ind w:left="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предоставлении услуг но санаторно-курортному лечению и</w:t>
        <w:br/>
        <w:t>медицинской реабилитации в Центрах реабилитации СФР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8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1 января 2025 года ветеранам боевых действий, принимавшим участие в специальной военной операции, завершившим правоотношения с силовыми ведомствами (уволенные, демобилизованные), предоставляются услуги по медицинской реабилитации и санаторно-курортному лечению в Центрах реабилитации Социального Фонда России.</w:t>
      </w:r>
    </w:p>
    <w:p>
      <w:pPr>
        <w:pStyle w:val="Style5"/>
        <w:tabs>
          <w:tab w:leader="none" w:pos="7978" w:val="left"/>
          <w:tab w:leader="none" w:pos="87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8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 предоставления услуги определен Постановлением Правительства Российской Федерации от 28.12.2024</w:t>
        <w:tab/>
        <w:t>№</w:t>
        <w:tab/>
        <w:t>1960 "Об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утверждении Правил предоставления и оплаты услуг по санаторно- курортному лечению, медицинской реабилитации лиц, указанных в части 10 статьи 7 Федерального закона "О бюджете Фонда пенсионного и социального страхования Российской Федерации на 2025 год и на плановый период 2026 и 2027 годов", в центрах реабилитации Фонда пенсионного и социального страхования Российской Федерации".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8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ведомственном подчинении СФР находятся 12 Центров, располагающихся на территории 5 федеральных округов (Центральный, Приволжский, Южный, Уральский, Сибирский федеральные округа).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860"/>
      </w:pPr>
      <w:r>
        <w:rPr>
          <w:rStyle w:val="CharStyle7"/>
        </w:rPr>
        <w:t>Центры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имеют высокий уровень оснащения клинико-диагностическим оборудованием, медицинской техникой и современным реабилитационным оборудованием, что позволяет применять разнообразные методики с использованием природных и физических факторов при проведении медицинской реабилитации и санаторно-курортного лечения.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8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Оздоровление и реабилитация участников СВО на базе Центров является эффективным механизмом по улучшению их здоровья и качества жизни. Наличие в Центрах высококвалифицированных специалистов позволяет оказывать данной категории лиц качественную медицинскую помощь, в том числе по профилям заболеваний, связанным с травмами и повреждениями опорно-двигательного аппарата (в т.ч. ампутации), с повреждением органов дыхания, периферической нервной системы (черепно</w:t>
        <w:softHyphen/>
        <w:t>мозговые травмы и т.д.).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28" w:lineRule="exact"/>
        <w:ind w:left="0" w:right="0" w:firstLine="860"/>
      </w:pPr>
      <w:r>
        <w:rPr>
          <w:lang w:val="ru-RU" w:eastAsia="ru-RU" w:bidi="ru-RU"/>
          <w:w w:val="100"/>
          <w:spacing w:val="0"/>
          <w:color w:val="000000"/>
          <w:position w:val="0"/>
        </w:rPr>
        <w:t>11олучение услуг носит заявительный характер. Подать заявление на получение медицинской реабилитации и санаторно-курортного лечения можно одним из следующих способов: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00" w:lineRule="exact"/>
        <w:ind w:left="0" w:right="0" w:firstLine="8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- </w:t>
      </w:r>
      <w:r>
        <w:rPr>
          <w:rStyle w:val="CharStyle8"/>
        </w:rPr>
        <w:t>а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форме электронного документа посредством Единого портала;</w:t>
      </w:r>
    </w:p>
    <w:p>
      <w:pPr>
        <w:pStyle w:val="Style9"/>
        <w:widowControl w:val="0"/>
        <w:keepNext/>
        <w:keepLines/>
        <w:shd w:val="clear" w:color="auto" w:fill="auto"/>
        <w:bidi w:val="0"/>
        <w:spacing w:before="0" w:after="0" w:line="380" w:lineRule="exact"/>
        <w:ind w:left="0" w:right="0" w:firstLine="0"/>
      </w:pPr>
      <w:bookmarkStart w:id="0" w:name="bookmark0"/>
      <w:r>
        <w:rPr>
          <w:rStyle w:val="CharStyle11"/>
          <w:b w:val="0"/>
          <w:bCs w:val="0"/>
        </w:rPr>
        <w:t xml:space="preserve">Отделения” </w:t>
      </w:r>
      <w:r>
        <w:rPr>
          <w:lang w:val="ru-RU" w:eastAsia="ru-RU" w:bidi="ru-RU"/>
          <w:w w:val="100"/>
          <w:color w:val="000000"/>
          <w:position w:val="0"/>
        </w:rPr>
        <w:t>Фовд^</w:t>
      </w:r>
      <w:r>
        <w:rPr>
          <w:lang w:val="ru-RU" w:eastAsia="ru-RU" w:bidi="ru-RU"/>
          <w:vertAlign w:val="superscript"/>
          <w:w w:val="100"/>
          <w:color w:val="000000"/>
          <w:position w:val="0"/>
        </w:rPr>
        <w:t>М</w:t>
      </w:r>
      <w:r>
        <w:rPr>
          <w:lang w:val="ru-RU" w:eastAsia="ru-RU" w:bidi="ru-RU"/>
          <w:w w:val="100"/>
          <w:color w:val="000000"/>
          <w:position w:val="0"/>
        </w:rPr>
        <w:t>п</w:t>
      </w:r>
      <w:r>
        <w:rPr>
          <w:rStyle w:val="CharStyle12"/>
          <w:vertAlign w:val="subscript"/>
          <w:b w:val="0"/>
          <w:bCs w:val="0"/>
        </w:rPr>
        <w:t>0</w:t>
      </w:r>
      <w:r>
        <w:rPr>
          <w:lang w:val="ru-RU" w:eastAsia="ru-RU" w:bidi="ru-RU"/>
          <w:vertAlign w:val="superscript"/>
          <w:w w:val="100"/>
          <w:color w:val="000000"/>
          <w:position w:val="0"/>
        </w:rPr>
        <w:t>Д</w:t>
      </w:r>
      <w:r>
        <w:rPr>
          <w:rStyle w:val="CharStyle12"/>
          <w:vertAlign w:val="superscript"/>
          <w:b w:val="0"/>
          <w:bCs w:val="0"/>
        </w:rPr>
        <w:t>0</w:t>
      </w:r>
      <w:r>
        <w:rPr>
          <w:lang w:val="ru-RU" w:eastAsia="ru-RU" w:bidi="ru-RU"/>
          <w:w w:val="100"/>
          <w:color w:val="000000"/>
          <w:position w:val="0"/>
        </w:rPr>
        <w:t>^ыбору</w:t>
      </w:r>
      <w:r>
        <w:rPr>
          <w:lang w:val="ru-RU" w:eastAsia="ru-RU" w:bidi="ru-RU"/>
          <w:vertAlign w:val="superscript"/>
          <w:w w:val="100"/>
          <w:color w:val="000000"/>
          <w:position w:val="0"/>
        </w:rPr>
        <w:t>а</w:t>
      </w:r>
      <w:r>
        <w:rPr>
          <w:lang w:val="ru-RU" w:eastAsia="ru-RU" w:bidi="ru-RU"/>
          <w:w w:val="100"/>
          <w:color w:val="000000"/>
          <w:position w:val="0"/>
        </w:rPr>
        <w:t>участника</w:t>
      </w:r>
      <w:r>
        <w:rPr>
          <w:rStyle w:val="CharStyle12"/>
          <w:vertAlign w:val="superscript"/>
          <w:b w:val="0"/>
          <w:bCs w:val="0"/>
        </w:rPr>
        <w:t>1</w:t>
      </w:r>
      <w:r>
        <w:rPr>
          <w:lang w:val="ru-RU" w:eastAsia="ru-RU" w:bidi="ru-RU"/>
          <w:w w:val="100"/>
          <w:color w:val="000000"/>
          <w:position w:val="0"/>
        </w:rPr>
        <w:t>°СВО</w:t>
      </w:r>
      <w:r>
        <w:rPr>
          <w:lang w:val="ru-RU" w:eastAsia="ru-RU" w:bidi="ru-RU"/>
          <w:vertAlign w:val="superscript"/>
          <w:w w:val="100"/>
          <w:color w:val="000000"/>
          <w:position w:val="0"/>
        </w:rPr>
        <w:t>СИТеЛе</w:t>
      </w:r>
      <w:r>
        <w:rPr>
          <w:lang w:val="ru-RU" w:eastAsia="ru-RU" w:bidi="ru-RU"/>
          <w:w w:val="100"/>
          <w:color w:val="000000"/>
          <w:position w:val="0"/>
        </w:rPr>
        <w:t xml:space="preserve"> </w:t>
      </w:r>
      <w:r>
        <w:rPr>
          <w:rStyle w:val="CharStyle11"/>
          <w:b w:val="0"/>
          <w:bCs w:val="0"/>
        </w:rPr>
        <w:t xml:space="preserve">“ </w:t>
      </w:r>
      <w:r>
        <w:rPr>
          <w:rStyle w:val="CharStyle13"/>
          <w:vertAlign w:val="superscript"/>
          <w:b/>
          <w:bCs/>
        </w:rPr>
        <w:t>КЛИеНТСК</w:t>
      </w:r>
      <w:r>
        <w:rPr>
          <w:rStyle w:val="CharStyle13"/>
          <w:b/>
          <w:bCs/>
        </w:rPr>
        <w:t xml:space="preserve">У'° </w:t>
      </w:r>
      <w:r>
        <w:rPr>
          <w:rStyle w:val="CharStyle13"/>
          <w:vertAlign w:val="superscript"/>
          <w:b/>
          <w:bCs/>
        </w:rPr>
        <w:t>СЛ</w:t>
      </w:r>
      <w:r>
        <w:rPr>
          <w:rStyle w:val="CharStyle13"/>
          <w:b/>
          <w:bCs/>
        </w:rPr>
        <w:t>У</w:t>
      </w:r>
      <w:r>
        <w:rPr>
          <w:rStyle w:val="CharStyle13"/>
          <w:vertAlign w:val="superscript"/>
          <w:b/>
          <w:bCs/>
        </w:rPr>
        <w:t>жб</w:t>
      </w:r>
      <w:r>
        <w:rPr>
          <w:rStyle w:val="CharStyle13"/>
          <w:b/>
          <w:bCs/>
        </w:rPr>
        <w:t>У</w:t>
      </w:r>
      <w:bookmarkEnd w:id="0"/>
    </w:p>
    <w:p>
      <w:pPr>
        <w:pStyle w:val="Style5"/>
        <w:tabs>
          <w:tab w:leader="none" w:pos="6304" w:val="left"/>
        </w:tabs>
        <w:widowControl w:val="0"/>
        <w:keepNext w:val="0"/>
        <w:keepLines w:val="0"/>
        <w:shd w:val="clear" w:color="auto" w:fill="auto"/>
        <w:bidi w:val="0"/>
        <w:spacing w:before="0" w:after="268" w:line="3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жительства или места пребывания-</w:t>
        <w:tab/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}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независимо от его места</w:t>
      </w:r>
    </w:p>
    <w:p>
      <w:pPr>
        <w:pStyle w:val="Style14"/>
        <w:tabs>
          <w:tab w:leader="none" w:pos="4878" w:val="left"/>
          <w:tab w:leader="none" w:pos="7978" w:val="left"/>
        </w:tabs>
        <w:widowControl w:val="0"/>
        <w:keepNext/>
        <w:keepLines/>
        <w:shd w:val="clear" w:color="auto" w:fill="auto"/>
        <w:bidi w:val="0"/>
        <w:spacing w:before="0" w:after="0" w:line="300" w:lineRule="exact"/>
        <w:ind w:left="0" w:right="0" w:firstLine="0"/>
        <w:sectPr>
          <w:headerReference w:type="default" r:id="rId5"/>
          <w:titlePg/>
          <w:footnotePr>
            <w:pos w:val="pageBottom"/>
            <w:numFmt w:val="decimal"/>
            <w:numRestart w:val="continuous"/>
          </w:footnotePr>
          <w:pgSz w:w="11900" w:h="16840"/>
          <w:pgMar w:top="978" w:left="1085" w:right="566" w:bottom="978" w:header="0" w:footer="3" w:gutter="0"/>
          <w:rtlGutter w:val="0"/>
          <w:cols w:space="720"/>
          <w:pgNumType w:start="2"/>
          <w:noEndnote/>
          <w:docGrid w:linePitch="360"/>
        </w:sectPr>
      </w:pPr>
      <w:bookmarkStart w:id="1" w:name="bookmark1"/>
      <w:r>
        <w:rPr>
          <w:rStyle w:val="CharStyle16"/>
        </w:rPr>
        <w:t>и</w:t>
        <w:tab/>
      </w:r>
      <w:r>
        <w:rPr>
          <w:rStyle w:val="CharStyle17"/>
          <w:vertAlign w:val="superscript"/>
        </w:rPr>
        <w:t>Ue</w:t>
      </w:r>
      <w:r>
        <w:rPr>
          <w:rStyle w:val="CharStyle17"/>
        </w:rPr>
        <w:t>"</w:t>
      </w:r>
      <w:r>
        <w:rPr>
          <w:rStyle w:val="CharStyle17"/>
          <w:vertAlign w:val="superscript"/>
        </w:rPr>
        <w:t>T</w:t>
      </w:r>
      <w:r>
        <w:rPr>
          <w:rStyle w:val="CharStyle17"/>
        </w:rPr>
        <w:t>”</w:t>
      </w:r>
      <w:r>
        <w:rPr>
          <w:lang w:val="en-US" w:eastAsia="en-US" w:bidi="en-US"/>
          <w:w w:val="100"/>
          <w:spacing w:val="0"/>
          <w:color w:val="000000"/>
          <w:position w:val="0"/>
        </w:rPr>
        <w:tab/>
      </w:r>
      <w:r>
        <w:rPr>
          <w:lang w:val="ru-RU" w:eastAsia="ru-RU" w:bidi="ru-RU"/>
          <w:w w:val="100"/>
          <w:spacing w:val="0"/>
          <w:color w:val="000000"/>
          <w:position w:val="0"/>
        </w:rPr>
        <w:t>Г„с</w:t>
      </w:r>
      <w:r>
        <w:rPr>
          <w:lang w:val="ru-RU" w:eastAsia="ru-RU" w:bidi="ru-RU"/>
          <w:vertAlign w:val="subscript"/>
          <w:w w:val="100"/>
          <w:spacing w:val="0"/>
          <w:color w:val="000000"/>
          <w:position w:val="0"/>
        </w:rPr>
        <w:t>дарствс</w:t>
      </w:r>
      <w:r>
        <w:rPr>
          <w:lang w:val="ru-RU" w:eastAsia="ru-RU" w:bidi="ru-RU"/>
          <w:w w:val="100"/>
          <w:spacing w:val="0"/>
          <w:color w:val="000000"/>
          <w:position w:val="0"/>
        </w:rPr>
        <w:t>„„</w:t>
      </w:r>
      <w:r>
        <w:rPr>
          <w:lang w:val="ru-RU" w:eastAsia="ru-RU" w:bidi="ru-RU"/>
          <w:vertAlign w:val="subscript"/>
          <w:w w:val="100"/>
          <w:spacing w:val="0"/>
          <w:color w:val="000000"/>
          <w:position w:val="0"/>
        </w:rPr>
        <w:t>ш</w:t>
      </w:r>
      <w:bookmarkEnd w:id="1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заявлением должны быть представлены медицинские документы, подтверждающие наличие медицинских показаний и отсутствие медицинских противопоказаний к медицинской реабилитации и санаторно-курортному лечению: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- справка для получения путевки на санаторно-курортное лечение (форма 070/у),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-медицинское заключение на медицинскую реабилитацию.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Указанные документы выдаются медицинской организацией, в которой участник СВО состоит под диспансерным наблюдением.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5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Длительность медицинской реабилитации составляет до 25 дней санаторно-курортного лечения - не более 21 дня. Периодичность предоставления услуг по санаторно-курортному лечению составляет один раз в течение календарного года.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повышения доступности услуг по реабилитации и санаторно- курортному лечению для участников СВО предусмотрена компенсация затрат на проезд до реабилитационного центра и обратно. Воспользоваться проездом можно любым видом транспорта, включая поезд, самолет, водный транспорт, автобус или личный автомобиль.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возмещения расходов на проезд участник СВО обращается в Отделение Фонда с заявлением и прикладывает документы, подтверждающие понесенные расходы (чеки, билеты).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Отделение Фонда и Центры обеспечивают персональное сопровождение участников СВО на протяжении всего периода оформления документов и лечения.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346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интересующим вопросам можно обращаться в Клиентские службы, расположенные в городах и районах республики, а также в Отделение Фонда по адресу: г. Уфа, ул. Сочинская,! 5, тел. 8(347) 279-02-00, 8(347) 256-16-99, 8(347)279-55-39.</w:t>
      </w:r>
    </w:p>
    <w:sectPr>
      <w:pgSz w:w="11900" w:h="16840"/>
      <w:pgMar w:top="1718" w:left="987" w:right="786" w:bottom="171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9.2pt;margin-top:63.5pt;width:5.05pt;height:8.3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4)_"/>
    <w:basedOn w:val="DefaultParagraphFont"/>
    <w:link w:val="Style3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7">
    <w:name w:val="Основной текст (2)"/>
    <w:basedOn w:val="CharStyle6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8">
    <w:name w:val="Основной текст (2) + Consolas,12 pt,Курсив"/>
    <w:basedOn w:val="CharStyle6"/>
    <w:rPr>
      <w:lang w:val="ru-RU" w:eastAsia="ru-RU" w:bidi="ru-RU"/>
      <w:i/>
      <w:iCs/>
      <w:sz w:val="24"/>
      <w:szCs w:val="24"/>
      <w:rFonts w:ascii="Consolas" w:eastAsia="Consolas" w:hAnsi="Consolas" w:cs="Consolas"/>
      <w:w w:val="100"/>
      <w:spacing w:val="0"/>
      <w:color w:val="000000"/>
      <w:position w:val="0"/>
    </w:rPr>
  </w:style>
  <w:style w:type="character" w:customStyle="1" w:styleId="CharStyle10">
    <w:name w:val="Заголовок №2_"/>
    <w:basedOn w:val="DefaultParagraphFont"/>
    <w:link w:val="Style9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0"/>
    </w:rPr>
  </w:style>
  <w:style w:type="character" w:customStyle="1" w:styleId="CharStyle11">
    <w:name w:val="Заголовок №2 + Не полужирный"/>
    <w:basedOn w:val="CharStyle10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2">
    <w:name w:val="Заголовок №2 + Не полужирный"/>
    <w:basedOn w:val="CharStyle10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3">
    <w:name w:val="Заголовок №2 + 19 pt,Масштаб 50%"/>
    <w:basedOn w:val="CharStyle10"/>
    <w:rPr>
      <w:lang w:val="ru-RU" w:eastAsia="ru-RU" w:bidi="ru-RU"/>
      <w:sz w:val="38"/>
      <w:szCs w:val="38"/>
      <w:w w:val="50"/>
      <w:spacing w:val="0"/>
      <w:color w:val="000000"/>
      <w:position w:val="0"/>
    </w:rPr>
  </w:style>
  <w:style w:type="character" w:customStyle="1" w:styleId="CharStyle15">
    <w:name w:val="Заголовок №1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6">
    <w:name w:val="Заголовок №1"/>
    <w:basedOn w:val="CharStyle15"/>
    <w:rPr>
      <w:lang w:val="ru-RU" w:eastAsia="ru-RU" w:bidi="ru-RU"/>
      <w:sz w:val="30"/>
      <w:szCs w:val="30"/>
      <w:w w:val="100"/>
      <w:spacing w:val="0"/>
      <w:color w:val="000000"/>
      <w:position w:val="0"/>
    </w:rPr>
  </w:style>
  <w:style w:type="character" w:customStyle="1" w:styleId="CharStyle17">
    <w:name w:val="Заголовок №1 + 13 pt,Курсив"/>
    <w:basedOn w:val="CharStyle15"/>
    <w:rPr>
      <w:lang w:val="en-US" w:eastAsia="en-US" w:bidi="en-US"/>
      <w:i/>
      <w:iCs/>
      <w:sz w:val="26"/>
      <w:szCs w:val="26"/>
      <w:w w:val="100"/>
      <w:spacing w:val="0"/>
      <w:color w:val="000000"/>
      <w:position w:val="0"/>
    </w:rPr>
  </w:style>
  <w:style w:type="character" w:customStyle="1" w:styleId="CharStyle19">
    <w:name w:val="Колонтитул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0">
    <w:name w:val="Колонтитул"/>
    <w:basedOn w:val="CharStyle19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paragraph" w:customStyle="1" w:styleId="Style3">
    <w:name w:val="Основной текст (4)"/>
    <w:basedOn w:val="Normal"/>
    <w:link w:val="CharStyle4"/>
    <w:pPr>
      <w:widowControl w:val="0"/>
      <w:shd w:val="clear" w:color="auto" w:fill="FFFFFF"/>
      <w:jc w:val="center"/>
      <w:spacing w:line="364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jc w:val="both"/>
      <w:spacing w:before="600" w:line="342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9">
    <w:name w:val="Заголовок №2"/>
    <w:basedOn w:val="Normal"/>
    <w:link w:val="CharStyle10"/>
    <w:pPr>
      <w:widowControl w:val="0"/>
      <w:shd w:val="clear" w:color="auto" w:fill="FFFFFF"/>
      <w:jc w:val="both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  <w:spacing w:val="0"/>
    </w:rPr>
  </w:style>
  <w:style w:type="paragraph" w:customStyle="1" w:styleId="Style14">
    <w:name w:val="Заголовок №1"/>
    <w:basedOn w:val="Normal"/>
    <w:link w:val="CharStyle15"/>
    <w:pPr>
      <w:widowControl w:val="0"/>
      <w:shd w:val="clear" w:color="auto" w:fill="FFFFFF"/>
      <w:jc w:val="both"/>
      <w:outlineLvl w:val="0"/>
      <w:spacing w:before="240"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8">
    <w:name w:val="Колонтитул"/>
    <w:basedOn w:val="Normal"/>
    <w:link w:val="CharStyle1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